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60"/>
      </w:pPr>
      <w:r>
        <w:rPr>
          <w:b/>
          <w:sz w:val="16"/>
          <w:szCs w:val="16"/>
          <w:color w:val="9A7B29"/>
        </w:rPr>
        <w:t xml:space="preserve">R E P O R T</w:t>
      </w:r>
    </w:p>
    <w:p>
      <w:pPr>
        <w:spacing w:before="0" w:after="40" w:line="360" w:lineRule="auto"/>
      </w:pPr>
      <w:r>
        <w:rPr>
          <w:b/>
          <w:sz w:val="40"/>
          <w:szCs w:val="40"/>
          <w:color w:val="1B4332"/>
        </w:rPr>
        <w:t xml:space="preserve">주민이 소유하는 공동체경제: 해외 사례를 통한 자원과 돌봄의 자산화 전략</w:t>
      </w:r>
    </w:p>
    <w:p>
      <w:pPr>
        <w:spacing w:before="0" w:after="140" w:line="320" w:lineRule="auto"/>
      </w:pPr>
      <w:r>
        <w:rPr>
          <w:sz w:val="24"/>
          <w:szCs w:val="24"/>
          <w:color w:val="2D6A4F"/>
        </w:rPr>
        <w:t xml:space="preserve">주민이 직접 생산·관리·소유하는 공동체경제 모델은 외부 의존도를 낮추고 지역 내 부의 선순환을 창출하는 핵심적인 대안으로 주목받고 있다.</w:t>
      </w:r>
    </w:p>
    <w:p>
      <w:pPr>
        <w:spacing w:before="40" w:after="60"/>
        <w:pBdr>
          <w:top w:val="single" w:sz="6" w:space="6" w:color="9A7B29"/>
        </w:pBdr>
      </w:pPr>
      <w:r>
        <w:rPr>
          <w:b/>
          <w:sz w:val="19"/>
          <w:szCs w:val="19"/>
          <w:color w:val="2D6A4F"/>
        </w:rPr>
        <w:t xml:space="preserve">발행 </w:t>
      </w:r>
      <w:r>
        <w:rPr>
          <w:sz w:val="19"/>
          <w:szCs w:val="19"/>
          <w:color w:val="1F2937"/>
        </w:rPr>
        <w:t xml:space="preserve">도시공동체본부 </w:t>
      </w:r>
      <w:r>
        <w:rPr>
          <w:b/>
          <w:sz w:val="19"/>
          <w:szCs w:val="19"/>
          <w:color w:val="2D6A4F"/>
        </w:rPr>
        <w:t xml:space="preserve">발행일 </w:t>
      </w:r>
      <w:r>
        <w:rPr>
          <w:sz w:val="19"/>
          <w:szCs w:val="19"/>
          <w:color w:val="1F2937"/>
        </w:rPr>
        <w:t xml:space="preserve">2026.09.18.</w:t>
      </w:r>
    </w:p>
    <w:p>
      <w:pPr>
        <w:spacing w:before="0" w:after="40"/>
      </w:pPr>
      <w:r>
        <w:rPr>
          <w:sz w:val="18"/>
          <w:szCs w:val="18"/>
          <w:color w:val="6B7280"/>
        </w:rPr>
        <w:t xml:space="preserve">지구촌소식브리프 · 글로벌 일일 이슈 브리프</w:t>
      </w:r>
    </w:p>
    <w:p>
      <w:pPr>
        <w:spacing w:before="0" w:after="40"/>
      </w:pPr>
      <w:r>
        <w:rPr>
          <w:sz w:val="18"/>
          <w:szCs w:val="18"/>
          <w:color w:val="6B7280"/>
        </w:rPr>
        <w:t xml:space="preserve">발행인 이형구 · 2026-D261</w:t>
      </w:r>
    </w:p>
    <w:p>
      <w:pPr>
        <w:spacing w:before="0" w:after="40"/>
        <w:pBdr>
          <w:top w:val="single" w:sz="6" w:space="6" w:color="D9D9D9"/>
        </w:pBdr>
      </w:pPr>
    </w:p>
    <w:p>
      <w:pPr>
        <w:spacing w:before="260" w:after="110"/>
        <w:pBdr>
          <w:top w:val="single" w:sz="6" w:space="6" w:color="E5E7EB"/>
        </w:pBdr>
      </w:pPr>
      <w:r>
        <w:rPr>
          <w:b/>
          <w:sz w:val="28"/>
          <w:szCs w:val="28"/>
          <w:color w:val="1B4332"/>
        </w:rPr>
        <w:t xml:space="preserve">한 줄 요약</w:t>
      </w:r>
    </w:p>
    <w:p>
      <w:pPr>
        <w:spacing w:before="0" w:after="160" w:line="300" w:lineRule="auto"/>
      </w:pPr>
      <w:r>
        <w:rPr>
          <w:sz w:val="23"/>
          <w:szCs w:val="23"/>
          <w:color w:val="1F2937"/>
        </w:rPr>
        <w:t xml:space="preserve">주민이 직접 생산·관리·소유하는 공동체경제 모델은 외부 의존도를 낮추고 지역 내 부의 선순환을 창출하는 핵심적인 대안으로 주목받고 있다.</w:t>
      </w:r>
    </w:p>
    <w:p>
      <w:pPr>
        <w:spacing w:before="260" w:after="110"/>
        <w:pBdr>
          <w:top w:val="single" w:sz="6" w:space="6" w:color="E5E7EB"/>
        </w:pBdr>
      </w:pPr>
      <w:r>
        <w:rPr>
          <w:b/>
          <w:sz w:val="28"/>
          <w:szCs w:val="28"/>
          <w:color w:val="1B4332"/>
        </w:rPr>
        <w:t xml:space="preserve">핵심 내용</w:t>
      </w:r>
    </w:p>
    <w:p>
      <w:pPr>
        <w:spacing w:before="0" w:after="90" w:line="282" w:lineRule="auto"/>
        <w:ind w:left="260"/>
      </w:pPr>
      <w:r>
        <w:rPr>
          <w:b/>
          <w:sz w:val="21"/>
          <w:szCs w:val="21"/>
          <w:color w:val="9A7B29"/>
        </w:rPr>
        <w:t xml:space="preserve">•  </w:t>
      </w:r>
      <w:r>
        <w:rPr>
          <w:sz w:val="21"/>
          <w:szCs w:val="21"/>
          <w:color w:val="1F2937"/>
        </w:rPr>
        <w:t xml:space="preserve">공동체경제는 개별 농가나 소상공인이 직면한 자본과 노동력의 한계를 공동 소유와 협업으로 극복하는 실질적 대안이다.</w:t>
      </w:r>
    </w:p>
    <w:p>
      <w:pPr>
        <w:spacing w:before="0" w:after="90" w:line="282" w:lineRule="auto"/>
        <w:ind w:left="260"/>
      </w:pPr>
      <w:r>
        <w:rPr>
          <w:b/>
          <w:sz w:val="21"/>
          <w:szCs w:val="21"/>
          <w:color w:val="9A7B29"/>
        </w:rPr>
        <w:t xml:space="preserve">•  </w:t>
      </w:r>
      <w:r>
        <w:rPr>
          <w:sz w:val="21"/>
          <w:szCs w:val="21"/>
          <w:color w:val="1F2937"/>
        </w:rPr>
        <w:t xml:space="preserve">프랑스의 농기계 이용 협동조합 사례는 자원을 공유함으로써 개별 경영의 효율성을 높이고 비용 부담을 획기적으로 낮추는 모델을 제시한다.</w:t>
      </w:r>
    </w:p>
    <w:p>
      <w:pPr>
        <w:spacing w:before="0" w:after="90" w:line="282" w:lineRule="auto"/>
        <w:ind w:left="260"/>
      </w:pPr>
      <w:r>
        <w:rPr>
          <w:b/>
          <w:sz w:val="21"/>
          <w:szCs w:val="21"/>
          <w:color w:val="9A7B29"/>
        </w:rPr>
        <w:t xml:space="preserve">•  </w:t>
      </w:r>
      <w:r>
        <w:rPr>
          <w:sz w:val="21"/>
          <w:szCs w:val="21"/>
          <w:color w:val="1F2937"/>
        </w:rPr>
        <w:t xml:space="preserve">미국의 공동체 부 구축(Community Wealth Building) 이니셔티브는 금융 교육을 넘어 실질적인 자산 형성 기회를 제공하여 구조적 경제 격차를 해소한다.</w:t>
      </w:r>
    </w:p>
    <w:p>
      <w:pPr>
        <w:spacing w:before="0" w:after="90" w:line="282" w:lineRule="auto"/>
        <w:ind w:left="260"/>
      </w:pPr>
      <w:r>
        <w:rPr>
          <w:b/>
          <w:sz w:val="21"/>
          <w:szCs w:val="21"/>
          <w:color w:val="9A7B29"/>
        </w:rPr>
        <w:t xml:space="preserve">•  </w:t>
      </w:r>
      <w:r>
        <w:rPr>
          <w:sz w:val="21"/>
          <w:szCs w:val="21"/>
          <w:color w:val="1F2937"/>
        </w:rPr>
        <w:t xml:space="preserve">공동체 중심의 네트워크는 소외 계층의 투자 접근성을 높이고, 지역 내 경제적 이동성을 강화하는 중요한 사회적 안전망 역할을 수행한다.</w:t>
      </w:r>
    </w:p>
    <w:p>
      <w:pPr>
        <w:spacing w:before="260" w:after="110"/>
        <w:pBdr>
          <w:top w:val="single" w:sz="6" w:space="6" w:color="E5E7EB"/>
        </w:pBdr>
      </w:pPr>
      <w:r>
        <w:rPr>
          <w:b/>
          <w:sz w:val="28"/>
          <w:szCs w:val="28"/>
          <w:color w:val="1B4332"/>
        </w:rPr>
        <w:t xml:space="preserve">1. 개요</w:t>
      </w:r>
    </w:p>
    <w:p>
      <w:pPr>
        <w:spacing w:before="0" w:after="130" w:line="288" w:lineRule="auto"/>
      </w:pPr>
      <w:r>
        <w:rPr>
          <w:sz w:val="21"/>
          <w:szCs w:val="21"/>
          <w:color w:val="1F2937"/>
        </w:rPr>
        <w:t xml:space="preserve">현대 도시와 지역 사회는 급변하는 경제 환경과 외부 의존적 구조 속에서 지속 가능한 성장을 위한 새로운 돌파구를 모색하고 있다. 이번 보고서가 주목하는 '주민 소유 공동체경제'는 지역의 자원과 돌봄 기능을 주민이 직접 생산, 관리, 소유함으로써 외부 자본에 대한 의존도를 낮추고 지역 내 부의 선순환을 창출하는 핵심적인 대안 모델이다. 과거의 지역 경제가 외부 기업의 투자나 중앙 정부의 지원에 과도하게 의존하며 도시의 정체성을 상실했던 것과 달리, 이제는 지역 공동체가 스스로 자산화 전략을 수립하여 경제적 자립을 도모하는 방향으로 패러다임이 전환되고 있다.</w:t>
      </w:r>
    </w:p>
    <w:p>
      <w:pPr>
        <w:spacing w:before="200" w:after="90"/>
      </w:pPr>
      <w:r>
        <w:rPr>
          <w:b/>
          <w:sz w:val="23"/>
          <w:szCs w:val="23"/>
          <w:color w:val="2D6A4F"/>
        </w:rPr>
        <w:t xml:space="preserve">공동체 자산화의 메커니즘과 전략적 중요성</w:t>
      </w:r>
    </w:p>
    <w:p>
      <w:pPr>
        <w:spacing w:before="0" w:after="130" w:line="288" w:lineRule="auto"/>
      </w:pPr>
      <w:r>
        <w:rPr>
          <w:sz w:val="21"/>
          <w:szCs w:val="21"/>
          <w:color w:val="1F2937"/>
        </w:rPr>
        <w:t xml:space="preserve">해외 사례를 통해 확인되는 공동체경제의 핵심은 단순히 개별 경제 주체의 수익 창출을 넘어, 지역 사회의 자산(자원, 돌봄, 인프라)을 공동의 소유로 전환하여 그 혜택이 지역 내에 머물게 하는 메커니즘에 있다. 미국과 같은 국가에서는 금융 기관과의 협력을 통해 소외된 계층의 경제적 이동성을 높이고, 공동체 중심의 네트워크를 통해 첫 투자자들이 부를 구축할 수 있도록 지원하는 방식이 확산되고 있다. 특히 '멜라닌 머니(Melanin Money)'와 같이 금융 교육과 자산 형성 플랫폼을 결합하여 인종 간 부의 격차를 해소하려는 시도는, 구조적인 경제적 장벽을 넘어서기 위해서는 단순한 지식 전달을 넘어 실질적인 자산 접근권이 보장되어야 함을 시사한다.</w:t>
      </w:r>
    </w:p>
    <w:p>
      <w:pPr>
        <w:spacing w:before="0" w:after="90" w:line="282" w:lineRule="auto"/>
        <w:ind w:left="260"/>
      </w:pPr>
      <w:r>
        <w:rPr>
          <w:b/>
          <w:sz w:val="21"/>
          <w:szCs w:val="21"/>
          <w:color w:val="9A7B29"/>
        </w:rPr>
        <w:t xml:space="preserve">•  </w:t>
      </w:r>
      <w:r>
        <w:rPr>
          <w:sz w:val="21"/>
          <w:szCs w:val="21"/>
          <w:color w:val="1F2937"/>
        </w:rPr>
        <w:t xml:space="preserve">외부 의존성 탈피: 외부 자본 유치에만 매몰되지 않고 지역 내부의 자원과 노동력을 재조직하여 경제적 자립도를 높임.</w:t>
      </w:r>
    </w:p>
    <w:p>
      <w:pPr>
        <w:spacing w:before="0" w:after="90" w:line="282" w:lineRule="auto"/>
        <w:ind w:left="260"/>
      </w:pPr>
      <w:r>
        <w:rPr>
          <w:b/>
          <w:sz w:val="21"/>
          <w:szCs w:val="21"/>
          <w:color w:val="9A7B29"/>
        </w:rPr>
        <w:t xml:space="preserve">•  </w:t>
      </w:r>
      <w:r>
        <w:rPr>
          <w:sz w:val="21"/>
          <w:szCs w:val="21"/>
          <w:color w:val="1F2937"/>
        </w:rPr>
        <w:t xml:space="preserve">포괄적 자산 형성: 금융 이해력 교육과 더불어 실질적인 자본 접근성을 보장하는 정책적·민간적 협력 모델을 구축함.</w:t>
      </w:r>
    </w:p>
    <w:p>
      <w:pPr>
        <w:spacing w:before="0" w:after="90" w:line="282" w:lineRule="auto"/>
        <w:ind w:left="260"/>
      </w:pPr>
      <w:r>
        <w:rPr>
          <w:b/>
          <w:sz w:val="21"/>
          <w:szCs w:val="21"/>
          <w:color w:val="9A7B29"/>
        </w:rPr>
        <w:t xml:space="preserve">•  </w:t>
      </w:r>
      <w:r>
        <w:rPr>
          <w:sz w:val="21"/>
          <w:szCs w:val="21"/>
          <w:color w:val="1F2937"/>
        </w:rPr>
        <w:t xml:space="preserve">사회적 안전망 구축: 돌봄과 같은 필수 서비스를 공동체 차원에서 자산화하여 인구 구조 변화와 같은 외부 충격에 대응함.</w:t>
      </w:r>
    </w:p>
    <w:p>
      <w:pPr>
        <w:spacing w:before="200" w:after="90"/>
      </w:pPr>
      <w:r>
        <w:rPr>
          <w:b/>
          <w:sz w:val="23"/>
          <w:szCs w:val="23"/>
          <w:color w:val="2D6A4F"/>
        </w:rPr>
        <w:t xml:space="preserve">지속가능한 성장을 위한 도전과 과제</w:t>
      </w:r>
    </w:p>
    <w:p>
      <w:pPr>
        <w:spacing w:before="0" w:after="130" w:line="288" w:lineRule="auto"/>
      </w:pPr>
      <w:r>
        <w:rPr>
          <w:sz w:val="21"/>
          <w:szCs w:val="21"/>
          <w:color w:val="1F2937"/>
        </w:rPr>
        <w:t xml:space="preserve">공동체경제 모델이 성공적으로 작동하기 위해서는 단일 주체의 역량만으로는 한계가 명확하다는 점을 인식해야 한다. 복잡한 지역 문제를 해결하기 위해서는 민간, 기업, 공공기관이 협력하는 다자간 거버넌스가 필수적이다. 해외의 사례들은 지역 의제를 주민이 주체적으로 발굴하고, 이를 다양한 전문성을 가진 주체들과 연결하는 과정에서 지속가능한 해법이 도출됨을 보여준다. 다만, 공동체 중심의 경제 모델이 모든 경제적 불평등을 단번에 해결할 수는 없으며, 구조적인 경제 장벽과 자본 접근성의 부족은 여전히 극복해야 할 과제로 남아 있다. 따라서 이번 보고서는 해외의 선진적 사례를 통해, 우리 지역 사회가 나아가야 할 방향으로서 '공동체 자산화'가 어떻게 정책적으로 뒷받침되고 현장에서 실질적인 변화를 만들어내는지 심층적으로 분석하고자 한다.</w:t>
      </w:r>
    </w:p>
    <w:p>
      <w:pPr>
        <w:spacing w:before="0" w:after="110" w:line="282" w:lineRule="auto"/>
      </w:pPr>
      <w:r>
        <w:rPr>
          <w:b/>
          <w:sz w:val="21"/>
          <w:szCs w:val="21"/>
          <w:color w:val="2D6A4F"/>
        </w:rPr>
        <w:t xml:space="preserve">핵심  </w:t>
      </w:r>
      <w:r>
        <w:rPr>
          <w:sz w:val="21"/>
          <w:szCs w:val="21"/>
          <w:color w:val="1F2937"/>
        </w:rPr>
        <w:t xml:space="preserve">주민 소유 공동체경제는 지역 자원의 자산화를 통해 외부 의존도를 낮추고 지역 내 부의 선순환을 유도하는 구조적 대안이며, 이는 단순한 경제적 수익을 넘어 공동체의 지속가능한 삶을 보장하는 핵심 전략으로 평가된다.</w:t>
      </w:r>
    </w:p>
    <w:p>
      <w:pPr>
        <w:spacing w:before="260" w:after="110"/>
        <w:pBdr>
          <w:top w:val="single" w:sz="6" w:space="6" w:color="E5E7EB"/>
        </w:pBdr>
      </w:pPr>
      <w:r>
        <w:rPr>
          <w:b/>
          <w:sz w:val="28"/>
          <w:szCs w:val="28"/>
          <w:color w:val="1B4332"/>
        </w:rPr>
        <w:t xml:space="preserve">3. 국제 담론과 정책 동향</w:t>
      </w:r>
    </w:p>
    <w:p>
      <w:pPr>
        <w:spacing w:before="0" w:after="130" w:line="288" w:lineRule="auto"/>
      </w:pPr>
      <w:r>
        <w:rPr>
          <w:sz w:val="21"/>
          <w:szCs w:val="21"/>
          <w:color w:val="1F2937"/>
        </w:rPr>
        <w:t xml:space="preserve">공동체경제(Community Wealth Building)는 지역 주민이 자산을 직접 소유하고 관리함으로써 외부 자본에 대한 의존도를 낮추고, 지역 내 부의 선순환을 창출하는 핵심적인 대안 모델로 국제 사회에서 주목받고 있다. 최근의 국제적 담론은 단순히 개인의 금융 이해력을 높이는 수준을 넘어, 구조적인 경제적 장벽을 해소하고 자본 접근성을 실질적으로 개선하는 방향으로 전개되고 있다. 특히 미국 등지에서는 금융 기관과의 협력을 통해 소외된 지역의 경제적 기반을 다지는 사례가 늘고 있으며, 이는 정책적 변화나 행정적 혼란 속에서도 지역 사회의 경제적 자립을 가능하게 하는 유효한 전략으로 평가된다.</w:t>
      </w:r>
    </w:p>
    <w:p>
      <w:pPr>
        <w:spacing w:before="200" w:after="90"/>
      </w:pPr>
      <w:r>
        <w:rPr>
          <w:b/>
          <w:sz w:val="23"/>
          <w:szCs w:val="23"/>
          <w:color w:val="2D6A4F"/>
        </w:rPr>
        <w:t xml:space="preserve">국제적 자산화 전략과 공동체 중심의 금융 모델</w:t>
      </w:r>
    </w:p>
    <w:p>
      <w:pPr>
        <w:spacing w:before="0" w:after="130" w:line="288" w:lineRule="auto"/>
      </w:pPr>
      <w:r>
        <w:rPr>
          <w:sz w:val="21"/>
          <w:szCs w:val="21"/>
          <w:color w:val="1F2937"/>
        </w:rPr>
        <w:t xml:space="preserve">해외에서는 공동체 중심의 네트워크가 역사적으로 축적된 경제적 불평등과 자본 접근성의 한계를 극복하는 핵심 동력으로 작용하고 있습니다. 예를 들어, 금융 교육 플랫폼인 멜라닌 머니(Melanin Money)는 10억 달러 이상의 지역 사회 부를 창출하며 인종 간 부의 격차를 해소하는 성과를 거두었습니다. 이들은 단순한 지식 전달을 넘어 흑인 대학(HBCU) 학생들을 대상으로 한 1억 달러 규모의 이니셔티브를 추진하는 등 차세대 리더의 경제적 역량 강화를 지원하고 있습니다. 또한, 미국의 사회적 투자 기관인 어반 스트래티지스(USI, Urban Strategies, Inc.)는 웰스 파고(Wells Fargo)와 같은 대형 금융 기관의 지원을 받아 경제적 이동성과 기업가 정신을 촉진하는 협력 모델을 구축하였습니다. 이러한 사례들은 기업의 사회적 책임 활동이 지역 경제 활성화와 결합될 때 소외 계층의 자산 형성 기회가 어떻게 확대될 수 있는지를 잘 보여줍니다.</w:t>
      </w:r>
    </w:p>
    <w:p>
      <w:pPr>
        <w:spacing w:before="0" w:after="90" w:line="282" w:lineRule="auto"/>
        <w:ind w:left="260"/>
      </w:pPr>
      <w:r>
        <w:rPr>
          <w:b/>
          <w:sz w:val="21"/>
          <w:szCs w:val="21"/>
          <w:color w:val="9A7B29"/>
        </w:rPr>
        <w:t xml:space="preserve">•  </w:t>
      </w:r>
      <w:r>
        <w:rPr>
          <w:sz w:val="21"/>
          <w:szCs w:val="21"/>
          <w:color w:val="1F2937"/>
        </w:rPr>
        <w:t xml:space="preserve">포괄적 자산화 전략: 단순한 금융 지식 교육을 넘어, 자본 접근성을 실질적으로 높이는 정책과 금융 인센티브를 병행하여 경제적 불평등을 해소함.</w:t>
      </w:r>
    </w:p>
    <w:p>
      <w:pPr>
        <w:spacing w:before="200" w:after="90"/>
      </w:pPr>
      <w:r>
        <w:rPr>
          <w:b/>
          <w:sz w:val="23"/>
          <w:szCs w:val="23"/>
          <w:color w:val="2D6A4F"/>
        </w:rPr>
        <w:t xml:space="preserve">농업 및 지역 자원 관리의 협업적 전환</w:t>
      </w:r>
    </w:p>
    <w:p>
      <w:pPr>
        <w:spacing w:before="0" w:after="130" w:line="288" w:lineRule="auto"/>
      </w:pPr>
      <w:r>
        <w:rPr>
          <w:sz w:val="21"/>
          <w:szCs w:val="21"/>
          <w:color w:val="1F2937"/>
        </w:rPr>
        <w:t xml:space="preserve">농업 분야에서도 고령화와 일손 부족이라는 공통의 위기를 극복하기 위해 '협업적 농업'이 국제적인 대안으로 부상하고 있습니다. 프랑스의 농기계 이용 협동조합인 쿠마(CUMA, Coopératives d'Utilisation de Matériel Agricole)는 약 1만 1,500개의 조합이 전국적으로 운영되며, 농업인의 약 40%가 가입하여 농기계를 공동으로 소유하고 이용하는 체계를 갖추고 있습니다. 이는 개별 농가가 고가의 장비를 각각 구비해야 하는 경제적 부담을 줄이고, 기술 공유와 효율적인 노동력 운영을 가능하게 함으로써 농업 경영의 안정성을 높이는 메커니즘으로 작동합니다. 이러한 협업 모델은 단순히 생산성을 높이는 데 그치지 않고, 주민들이 필요한 생활 서비스와 돌봄을 지속 가능하게 누릴 수 있는 지역 사회의 회복력을 강화하는 데 기여합니다.</w:t>
      </w:r>
    </w:p>
    <w:p>
      <w:pPr>
        <w:spacing w:before="0" w:after="110" w:line="282" w:lineRule="auto"/>
      </w:pPr>
      <w:r>
        <w:rPr>
          <w:b/>
          <w:sz w:val="21"/>
          <w:szCs w:val="21"/>
          <w:color w:val="2D6A4F"/>
        </w:rPr>
        <w:t xml:space="preserve">핵심  </w:t>
      </w:r>
      <w:r>
        <w:rPr>
          <w:sz w:val="21"/>
          <w:szCs w:val="21"/>
          <w:color w:val="1F2937"/>
        </w:rPr>
        <w:t xml:space="preserve">국제 사회의 공동체경제 정책은 '외부 의존형 성장'에서 '내부 자산화 및 협업 기반의 자립'으로 전환하고 있다. 이는 금융, 농업, 교육 등 다양한 분야에서 주민이 직접 생산·관리·소유하는 구조를 제도화함으로써, 인구 감소나 경제적 불평등과 같은 구조적 위기에 대응하는 유연한 사회적 안전망을 구축하는 과정으로 이해할 수 있다.</w:t>
      </w:r>
    </w:p>
    <w:p>
      <w:pPr>
        <w:spacing w:before="260" w:after="110"/>
        <w:pBdr>
          <w:top w:val="single" w:sz="6" w:space="6" w:color="E5E7EB"/>
        </w:pBdr>
      </w:pPr>
      <w:r>
        <w:rPr>
          <w:b/>
          <w:sz w:val="28"/>
          <w:szCs w:val="28"/>
          <w:color w:val="1B4332"/>
        </w:rPr>
        <w:t xml:space="preserve">4. 해외 사례 | 프랑스 — 농기계 이용 협동조합(CUMA)</w:t>
      </w:r>
    </w:p>
    <w:p>
      <w:pPr>
        <w:spacing w:before="0" w:after="130" w:line="288" w:lineRule="auto"/>
      </w:pPr>
      <w:r>
        <w:rPr>
          <w:sz w:val="21"/>
          <w:szCs w:val="21"/>
          <w:color w:val="1F2937"/>
        </w:rPr>
        <w:t xml:space="preserve">프랑스의 농기계 이용 협동조합(CUMA, Coopératives d'Utilisation de Matériel Agricole)은 농업 분야에서 자산의 공동 소유와 운용을 통해 농가 경영의 효율성을 극대화한 대표적인 사례로 손꼽힙니다. 프랑스 농업의 근간을 지탱하는 이 모델은 개별 농가가 고가의 농기계를 단독으로 구매할 때 발생하는 과도한 자본 부담과 경영 비효율을 해결하기 위해 탄생했습니다. 농업의 기계화가 가속화되던 시기, 소규모 농가들은 생산성을 높이기 위해 첨단 장비가 필요했으나 이를 개별적으로 감당하기에는 경제적 여력이 부족했습니다. 이러한 배경 속에서 농민들은 자발적으로 협동조합을 결성하여 농기계를 공동으로 구매하고 이용하는 방식을 택했습니다. 이는 농업 경영의 외부 의존도를 낮추고 지역 내 농가들이 자산을 공유함으로써 부의 선순환 구조를 만드는 데 크게 기여해 왔습니다.</w:t>
      </w:r>
    </w:p>
    <w:p>
      <w:pPr>
        <w:spacing w:before="200" w:after="90"/>
      </w:pPr>
      <w:r>
        <w:rPr>
          <w:b/>
          <w:sz w:val="23"/>
          <w:szCs w:val="23"/>
          <w:color w:val="2D6A4F"/>
        </w:rPr>
        <w:t xml:space="preserve">제도적 거버넌스와 작동 메커니즘</w:t>
      </w:r>
    </w:p>
    <w:p>
      <w:pPr>
        <w:spacing w:before="0" w:after="130" w:line="288" w:lineRule="auto"/>
      </w:pPr>
      <w:r>
        <w:rPr>
          <w:sz w:val="21"/>
          <w:szCs w:val="21"/>
          <w:color w:val="1F2937"/>
        </w:rPr>
        <w:t xml:space="preserve">CUMA의 핵심은 농기계의 '공동 소유'와 '공유 경제' 원리에 기반한 거버넌스 구조에 있다. 프랑스 전역에는 현재 약 11,500개의 CUMA가 운영되고 있으며, 프랑스 전체 농업인의 약 40%가 이 시스템에 참여하고 있다. 조합의 운영 방식은 매우 체계적이다. 보통 20명 내외의 농업인이 하나의 조합을 구성하여 필요한 농기계를 함께 구매하고, 각 농가의 작업 일정에 맞춰 기계를 순환 이용한다. 이를 통해 개별 농가는 고가의 장비를 직접 소유하지 않고도 첨단 기술을 활용한 농작업이 가능해지며, 결과적으로 농업 경영의 규모의 경제를 실현하게 된다. 조합은 단순한 기계 공유를 넘어, 운전자와 기계 기술자를 직접 고용하는 전문적인 관리 체계를 갖추기도 한다. 실제로 약 1,560개의 조합은 4,600여 명의 기술 인력을 고용하여 기계의 유지·보수 및 효율적인 운용을 전담하고 있다.</w:t>
      </w:r>
    </w:p>
    <w:p>
      <w:pPr>
        <w:spacing w:before="0" w:after="90" w:line="282" w:lineRule="auto"/>
        <w:ind w:left="260"/>
      </w:pPr>
      <w:r>
        <w:rPr>
          <w:b/>
          <w:sz w:val="21"/>
          <w:szCs w:val="21"/>
          <w:color w:val="9A7B29"/>
        </w:rPr>
        <w:t xml:space="preserve">•  </w:t>
      </w:r>
      <w:r>
        <w:rPr>
          <w:sz w:val="21"/>
          <w:szCs w:val="21"/>
          <w:color w:val="1F2937"/>
        </w:rPr>
        <w:t xml:space="preserve">전국적 네트워크: 전국 1만 1,500여 개의 조합이 유기적으로 연결되어 지역 농업의 생산성을 뒷받침하는 핵심 인프라로 기능함.</w:t>
      </w:r>
    </w:p>
    <w:p>
      <w:pPr>
        <w:spacing w:before="200" w:after="90"/>
      </w:pPr>
      <w:r>
        <w:rPr>
          <w:b/>
          <w:sz w:val="23"/>
          <w:szCs w:val="23"/>
          <w:color w:val="2D6A4F"/>
        </w:rPr>
        <w:t xml:space="preserve">성과와 국제적 함의</w:t>
      </w:r>
    </w:p>
    <w:p>
      <w:pPr>
        <w:spacing w:before="0" w:after="130" w:line="288" w:lineRule="auto"/>
      </w:pPr>
      <w:r>
        <w:rPr>
          <w:sz w:val="21"/>
          <w:szCs w:val="21"/>
          <w:color w:val="1F2937"/>
        </w:rPr>
        <w:t xml:space="preserve">CUMA 모델의 가장 큰 성과는 농업 경영의 안정성과 지속가능성을 확보했다는 점이다. 농기계 공동 이용은 농가 소득을 보전하는 동시에, 고령화와 일손 부족이라는 농촌의 구조적 문제에 대응하는 강력한 수단이 되었다. 특히 농민들이 농작업과 자원을 나누는 협업적 농업은 생산성 향상을 넘어 농촌 공동체의 유대감을 강화하는 역할을 수행했다. 다만, 이러한 모델이 성공적으로 정착하기 위해서는 단순히 기계를 공유하는 것을 넘어, 이를 제도적으로 인정하고 지속해서 지원하는 정책 체계가 필수적이다. 프랑스의 사례는 농지 규모화에만 매몰되지 않고, 소규모 농가 간의 협업과 장비 공유, 공동 경영 등 다양한 방식을 정책 대상으로 인정할 때 농업의 경쟁력이 확보될 수 있음을 시사한다. 이는 한국 농촌이 직면한 저출생 및 초고령화 문제에 대응하여 읍·면 단위의 주민 조직을 정책의 파트너로 삼고, 현장 중심의 협업 체계를 구축해야 한다는 점을 강력히 시사한다.</w:t>
      </w:r>
    </w:p>
    <w:p>
      <w:pPr>
        <w:spacing w:before="0" w:after="110" w:line="282" w:lineRule="auto"/>
      </w:pPr>
      <w:r>
        <w:rPr>
          <w:b/>
          <w:sz w:val="21"/>
          <w:szCs w:val="21"/>
          <w:color w:val="2D6A4F"/>
        </w:rPr>
        <w:t xml:space="preserve">핵심  </w:t>
      </w:r>
      <w:r>
        <w:rPr>
          <w:sz w:val="21"/>
          <w:szCs w:val="21"/>
          <w:color w:val="1F2937"/>
        </w:rPr>
        <w:t xml:space="preserve">프랑스의 CUMA는 농기계 공동 소유를 통해 농업 경영의 자본 효율성을 극대화하고, 이를 기반으로 지역 농업의 지속가능한 생산 구조를 창출한 성공적인 자산화 전략 모델이다.</w:t>
      </w:r>
    </w:p>
    <w:p>
      <w:pPr>
        <w:spacing w:before="260" w:after="110"/>
        <w:pBdr>
          <w:top w:val="single" w:sz="6" w:space="6" w:color="E5E7EB"/>
        </w:pBdr>
      </w:pPr>
      <w:r>
        <w:rPr>
          <w:b/>
          <w:sz w:val="28"/>
          <w:szCs w:val="28"/>
          <w:color w:val="1B4332"/>
        </w:rPr>
        <w:t xml:space="preserve">5. 해외 사례 | 미국 — 멜라닌 머니(Melanin Money)</w:t>
      </w:r>
    </w:p>
    <w:p>
      <w:pPr>
        <w:spacing w:before="0" w:after="130" w:line="288" w:lineRule="auto"/>
      </w:pPr>
      <w:r>
        <w:rPr>
          <w:sz w:val="21"/>
          <w:szCs w:val="21"/>
          <w:color w:val="1F2937"/>
        </w:rPr>
        <w:t xml:space="preserve">미국의 '멜라닌 머니(Melanin Money)'는 흑인 및 유색인종 공동체가 겪어온 역사적·구조적 경제 불평등을 해소하기 위해 설립된 금융 교육 및 자산 형성 플랫폼입니다. 2017년 조지 아치엠퐁(George Acheampong)과 카터 코필드(Carter Cofield)에 의해 시작된 이 모델은 단순한 지식 전달을 넘어, 공동체 중심의 네트워크와 실질적인 자산 운용 기회를 결합하는 데 초점을 맞추고 있습니다. 흑인과 갈색인종 공동체는 미국 사회에서 부를 축적하는 과정에서 역사적으로 제도적 장벽과 자본 접근성의 부족이라는 이중고를 겪어왔으며, 멜라닌 머니는 이러한 격차를 메우기 위해 체계적인 경제 교육과 투자 커뮤니티를 제공함으로써 개인의 자립을 넘어선 공동체 전체의 부의 증대를 도모하고 있습니다.</w:t>
      </w:r>
    </w:p>
    <w:p>
      <w:pPr>
        <w:spacing w:before="200" w:after="90"/>
      </w:pPr>
      <w:r>
        <w:rPr>
          <w:b/>
          <w:sz w:val="23"/>
          <w:szCs w:val="23"/>
          <w:color w:val="2D6A4F"/>
        </w:rPr>
        <w:t xml:space="preserve">제도적 거버넌스와 작동 메커니즘</w:t>
      </w:r>
    </w:p>
    <w:p>
      <w:pPr>
        <w:spacing w:before="0" w:after="130" w:line="288" w:lineRule="auto"/>
      </w:pPr>
      <w:r>
        <w:rPr>
          <w:sz w:val="21"/>
          <w:szCs w:val="21"/>
          <w:color w:val="1F2937"/>
        </w:rPr>
        <w:t xml:space="preserve">멜라닌 머니의 작동 방식은 금융 이해력 교육과 실전 투자 플랫폼의 유기적 결합에 기반한다. 이들은 참여자들이 자산 형성을 위한 기초 지식을 습득함과 동시에, 실제 투자 환경에서 소외되지 않도록 돕는 커뮤니티 네트워크를 구축한다. 특히 금융 전문가들이 제공하는 통찰과 분석은 생애 첫 투자자들이 직면하는 진입 장벽을 낮추는 역할을 한다. 멜라닌 머니는 이러한 교육적 접근이 실질적인 자산 형성으로 이어지도록 유도하며, 참여자들이 공동체 안에서 정보를 공유하고 상호 지원하는 환경을 조성하고 있다. 이는 개별 투자자의 성공률을 높일 뿐만 아니라, 공동체 내부에 자본이 머물고 순환하는 구조를 만드는 핵심 기제로 작동한다.</w:t>
      </w:r>
    </w:p>
    <w:p>
      <w:pPr>
        <w:spacing w:before="0" w:after="90" w:line="282" w:lineRule="auto"/>
        <w:ind w:left="260"/>
      </w:pPr>
      <w:r>
        <w:rPr>
          <w:b/>
          <w:sz w:val="21"/>
          <w:szCs w:val="21"/>
          <w:color w:val="9A7B29"/>
        </w:rPr>
        <w:t xml:space="preserve">•  </w:t>
      </w:r>
      <w:r>
        <w:rPr>
          <w:sz w:val="21"/>
          <w:szCs w:val="21"/>
          <w:color w:val="1F2937"/>
        </w:rPr>
        <w:t xml:space="preserve">공동체 중심의 네트워크를 활용하여 구조적 경제 장벽을 극복하고 자본 접근성 강화</w:t>
      </w:r>
    </w:p>
    <w:p>
      <w:pPr>
        <w:spacing w:before="200" w:after="90"/>
      </w:pPr>
      <w:r>
        <w:rPr>
          <w:b/>
          <w:sz w:val="23"/>
          <w:szCs w:val="23"/>
          <w:color w:val="2D6A4F"/>
        </w:rPr>
        <w:t xml:space="preserve">성과와 국제적 함의</w:t>
      </w:r>
    </w:p>
    <w:p>
      <w:pPr>
        <w:spacing w:before="0" w:after="130" w:line="288" w:lineRule="auto"/>
      </w:pPr>
      <w:r>
        <w:rPr>
          <w:sz w:val="21"/>
          <w:szCs w:val="21"/>
          <w:color w:val="1F2937"/>
        </w:rPr>
        <w:t xml:space="preserve">멜라닌 머니는 최근 10억 달러 이상의 지역 사회 부를 창출하는 성과를 거두며 그 영향력을 입증했다. 특히 최근 흑인 대학(HBCU) 학생들을 지원하기 위한 1억 달러 규모의 이니셔티브를 출범시킨 것은 차세대 리더들의 경제적 역량을 강화하려는 전략적 행보로 평가받는다. 이러한 모델은 금융 지식 교육만으로는 해소하기 어려운 구조적 불평등을 해결하기 위해 실질적인 자산 형성 기회와 네트워크를 제공해야 한다는 점을 시사한다. 이는 소외된 지역의 경제적 기반을 다지는 데 있어 금융 기관과의 협력과 공동체 기반의 자산화 전략이 얼마나 중요한지를 보여주는 사례다. 한국의 경우, 고령화와 저성장 국면에서 주민 조직이 자산을 공동으로 소유하고 관리하는 모델을 고민하고 있는데, 멜라닌 머니의 사례는 외부 의존도를 낮추고 지역 내 부의 선순환을 창출하는 방식에 있어 중요한 비교 참조점이 될 수 있다.</w:t>
      </w:r>
    </w:p>
    <w:p>
      <w:pPr>
        <w:spacing w:before="0" w:after="110" w:line="282" w:lineRule="auto"/>
      </w:pPr>
      <w:r>
        <w:rPr>
          <w:b/>
          <w:sz w:val="21"/>
          <w:szCs w:val="21"/>
          <w:color w:val="2D6A4F"/>
        </w:rPr>
        <w:t xml:space="preserve">핵심  </w:t>
      </w:r>
      <w:r>
        <w:rPr>
          <w:sz w:val="21"/>
          <w:szCs w:val="21"/>
          <w:color w:val="1F2937"/>
        </w:rPr>
        <w:t xml:space="preserve">멜라닌 머니는 금융 교육과 자산 형성 플랫폼을 결합하여 흑인 공동체의 경제적 자립을 지원하고, 10억 달러 이상의 부를 창출하며 구조적 인종 간 부의 격차를 해소하는 실질적인 대안 모델을 구축했다.</w:t>
      </w:r>
    </w:p>
    <w:p>
      <w:pPr>
        <w:spacing w:before="260" w:after="110"/>
        <w:pBdr>
          <w:top w:val="single" w:sz="6" w:space="6" w:color="E5E7EB"/>
        </w:pBdr>
      </w:pPr>
      <w:r>
        <w:rPr>
          <w:b/>
          <w:sz w:val="28"/>
          <w:szCs w:val="28"/>
          <w:color w:val="1B4332"/>
        </w:rPr>
        <w:t xml:space="preserve">6. 해외 사례 | 미국 — 아이오와 시티(Iowa City) 공동체 경제 모델</w:t>
      </w:r>
    </w:p>
    <w:p>
      <w:pPr>
        <w:spacing w:before="0" w:after="130" w:line="288" w:lineRule="auto"/>
      </w:pPr>
      <w:r>
        <w:rPr>
          <w:sz w:val="21"/>
          <w:szCs w:val="21"/>
          <w:color w:val="1F2937"/>
        </w:rPr>
        <w:t xml:space="preserve">미국 아이오와주에 위치한 아이오와 시티(Iowa City)는 급변하는 연방 정부의 정책적 환경과 경제적 불확실성 속에서도 지역 사회의 자산화 전략을 통해 경제적 자립을 도모하는 대표적인 사례로 주목받고 있다. 공동체 경제 모델은 단순히 개별 가구의 소득 증대를 넘어, 지역 내에서 생산된 부가 외부로 유출되지 않고 지역 사회 내부에서 순환하며 주민들의 자산으로 축적되도록 설계된 구조를 의미한다. 아이오와 시티는 이러한 자산 구축 전략을 통해 정책적 변화에 따른 외부 충격을 완화하고, 지역 주민들이 직접 경제 활동의 주체로서 생산과 관리에 참여하는 메커니즘을 발전시켜 왔다.</w:t>
      </w:r>
    </w:p>
    <w:p>
      <w:pPr>
        <w:spacing w:before="200" w:after="90"/>
      </w:pPr>
      <w:r>
        <w:rPr>
          <w:b/>
          <w:sz w:val="23"/>
          <w:szCs w:val="23"/>
          <w:color w:val="2D6A4F"/>
        </w:rPr>
        <w:t xml:space="preserve">역사적 배경과 공동체 경제의 필요성</w:t>
      </w:r>
    </w:p>
    <w:p>
      <w:pPr>
        <w:spacing w:before="0" w:after="130" w:line="288" w:lineRule="auto"/>
      </w:pPr>
      <w:r>
        <w:rPr>
          <w:sz w:val="21"/>
          <w:szCs w:val="21"/>
          <w:color w:val="1F2937"/>
        </w:rPr>
        <w:t xml:space="preserve">아이오와 시티의 공동체 경제 모델은 지역 사회가 직면한 구조적 경제 장벽을 극복하려는 노력에서 비롯되었다. 미국 전역에서 목격되는 인종 간, 계층 간 부의 격차는 단순한 금융 이해력 교육만으로는 해소하기 어려운 구조적 문제로 평가된다. 특히 자본 접근성의 부족과 외부 의존적인 경제 구조는 지역 사회의 회복탄력성을 저해하는 주요 요인으로 작용해 왔다. 이에 아이오와 시티는 지역 주민들이 스스로 경제적 역량을 강화하고, 공동체 중심의 네트워크를 통해 초기 투자와 자산 형성의 기회를 마련하는 방식을 채택했다. 이는 행정 명령이나 중앙 정부의 정책 방향이 수시로 바뀌는 상황에서도 지역의 경제적 기반이 흔들리지 않도록 하는 방어 기제이자 발전 전략으로 기능하고 있다.</w:t>
      </w:r>
    </w:p>
    <w:p>
      <w:pPr>
        <w:spacing w:before="200" w:after="90"/>
      </w:pPr>
      <w:r>
        <w:rPr>
          <w:b/>
          <w:sz w:val="23"/>
          <w:szCs w:val="23"/>
          <w:color w:val="2D6A4F"/>
        </w:rPr>
        <w:t xml:space="preserve">제도적 거버넌스와 자산화 전략의 작동 방식</w:t>
      </w:r>
    </w:p>
    <w:p>
      <w:pPr>
        <w:spacing w:before="0" w:after="130" w:line="288" w:lineRule="auto"/>
      </w:pPr>
      <w:r>
        <w:rPr>
          <w:sz w:val="21"/>
          <w:szCs w:val="21"/>
          <w:color w:val="1F2937"/>
        </w:rPr>
        <w:t xml:space="preserve">아이오와 시티의 공동체 경제 모델은 주민이 소유하고 관리하는 경제 구조를 핵심으로 한다. 이 모델은 다음과 같은 구체적인 작동 방식을 통해 지역 내 부의 선순환을 창출한다.</w:t>
      </w:r>
    </w:p>
    <w:p>
      <w:pPr>
        <w:spacing w:before="0" w:after="90" w:line="282" w:lineRule="auto"/>
        <w:ind w:left="260"/>
      </w:pPr>
      <w:r>
        <w:rPr>
          <w:b/>
          <w:sz w:val="21"/>
          <w:szCs w:val="21"/>
          <w:color w:val="9A7B29"/>
        </w:rPr>
        <w:t xml:space="preserve">•  </w:t>
      </w:r>
      <w:r>
        <w:rPr>
          <w:sz w:val="21"/>
          <w:szCs w:val="21"/>
          <w:color w:val="1F2937"/>
        </w:rPr>
        <w:t xml:space="preserve">주민 참여형 의사결정: 지역 의회와 주민 조직이 긴밀히 소통하며 지역 경제의 우선순위를 결정하고, 자산 운용의 투명성을 확보한다.</w:t>
      </w:r>
    </w:p>
    <w:p>
      <w:pPr>
        <w:spacing w:before="0" w:after="90" w:line="282" w:lineRule="auto"/>
        <w:ind w:left="260"/>
      </w:pPr>
      <w:r>
        <w:rPr>
          <w:b/>
          <w:sz w:val="21"/>
          <w:szCs w:val="21"/>
          <w:color w:val="9A7B29"/>
        </w:rPr>
        <w:t xml:space="preserve">•  </w:t>
      </w:r>
      <w:r>
        <w:rPr>
          <w:sz w:val="21"/>
          <w:szCs w:val="21"/>
          <w:color w:val="1F2937"/>
        </w:rPr>
        <w:t xml:space="preserve">자산의 공동 소유 및 관리: 토지, 건물, 농기계 등 핵심 생산 수단을 개인이 아닌 공동체가 소유하거나 공유함으로써 개별 가구의 진입 장벽을 낮추고 자본 효율성을 극대화한다.</w:t>
      </w:r>
    </w:p>
    <w:p>
      <w:pPr>
        <w:spacing w:before="0" w:after="90" w:line="282" w:lineRule="auto"/>
        <w:ind w:left="260"/>
      </w:pPr>
      <w:r>
        <w:rPr>
          <w:b/>
          <w:sz w:val="21"/>
          <w:szCs w:val="21"/>
          <w:color w:val="9A7B29"/>
        </w:rPr>
        <w:t xml:space="preserve">•  </w:t>
      </w:r>
      <w:r>
        <w:rPr>
          <w:sz w:val="21"/>
          <w:szCs w:val="21"/>
          <w:color w:val="1F2937"/>
        </w:rPr>
        <w:t xml:space="preserve">금융 협력 및 지원 네트워크: 지역 내 금융 기관 및 민간 단체와의 협력을 통해 소외된 계층에게도 창업 자금과 투자 기회를 제공하는 포괄적 금융 지원 체계를 구축한다.</w:t>
      </w:r>
    </w:p>
    <w:p>
      <w:pPr>
        <w:spacing w:before="0" w:after="130" w:line="288" w:lineRule="auto"/>
      </w:pPr>
      <w:r>
        <w:rPr>
          <w:sz w:val="21"/>
          <w:szCs w:val="21"/>
          <w:color w:val="1F2937"/>
        </w:rPr>
        <w:t xml:space="preserve">이러한 전략은 지역 내 기업가 정신을 고취하고, 청년 및 소외 계층이 지역 경제의 주류로 편입될 수 있는 경로를 제공한다. 특히 정책적 변화가 잦은 시기에도 지역 사회가 스스로 자산 형성의 주도권을 쥐고 있다는 점은 이 모델이 가진 가장 강력한 지속가능성 지표로 평가된다.</w:t>
      </w:r>
    </w:p>
    <w:p>
      <w:pPr>
        <w:spacing w:before="200" w:after="90"/>
      </w:pPr>
      <w:r>
        <w:rPr>
          <w:b/>
          <w:sz w:val="23"/>
          <w:szCs w:val="23"/>
          <w:color w:val="2D6A4F"/>
        </w:rPr>
        <w:t xml:space="preserve">성과와 국제적 함의</w:t>
      </w:r>
    </w:p>
    <w:p>
      <w:pPr>
        <w:spacing w:before="0" w:after="130" w:line="288" w:lineRule="auto"/>
      </w:pPr>
      <w:r>
        <w:rPr>
          <w:sz w:val="21"/>
          <w:szCs w:val="21"/>
          <w:color w:val="1F2937"/>
        </w:rPr>
        <w:t xml:space="preserve">아이오와 시티 모델은 지역 사회가 외부의 경제적 변동성에 휘둘리지 않고 스스로의 운명을 개척할 수 있음을 입증하고 있다. 이 사례는 한국의 농촌이나 지역 사회가 겪고 있는 고령화, 인구 감소, 소규모 농가의 경쟁력 약화 문제에 시사하는 바가 크다. 한국의 경우, 농기계 공유나 공동영농 조직과 같은 협업 사례가 등장하고 있으나, 이를 제도적으로 뒷받침하고 지속 가능한 자산화 전략으로 연결하는 체계는 여전히 보완이 필요하다. 아이오와 시티의 사례는 지역 주민을 정책의 단순한 수혜자가 아닌, 생산과 관리의 주체로 인정하고 그들의 자산이 지역 내에 머물 수 있도록 하는 제도적 설계가 필수적임을 보여준다. 결론적으로, 지역의 미래는 산업적 기반 시설뿐만 아니라 주민들이 공동체적 자산에 대해 가지는 소유권과 자긍심, 그리고 이를 뒷받침하는 협력적 거버넌스에 의해 결정된다고 할 수 있다.</w:t>
      </w:r>
    </w:p>
    <w:p>
      <w:pPr>
        <w:spacing w:before="0" w:after="110" w:line="282" w:lineRule="auto"/>
      </w:pPr>
      <w:r>
        <w:rPr>
          <w:b/>
          <w:sz w:val="21"/>
          <w:szCs w:val="21"/>
          <w:color w:val="2D6A4F"/>
        </w:rPr>
        <w:t xml:space="preserve">핵심  </w:t>
      </w:r>
      <w:r>
        <w:rPr>
          <w:sz w:val="21"/>
          <w:szCs w:val="21"/>
          <w:color w:val="1F2937"/>
        </w:rPr>
        <w:t xml:space="preserve">아이오와 시티의 공동체 경제 모델은 외부 정책 변화에 대응하여 지역 주민이 직접 자산을 소유하고 관리함으로써 경제적 자립과 부의 선순환을 달성하는 구조적 자산화 전략을 핵심으로 한다.</w:t>
      </w:r>
    </w:p>
    <w:p>
      <w:pPr>
        <w:spacing w:before="260" w:after="110"/>
        <w:pBdr>
          <w:top w:val="single" w:sz="6" w:space="6" w:color="E5E7EB"/>
        </w:pBdr>
      </w:pPr>
      <w:r>
        <w:rPr>
          <w:b/>
          <w:sz w:val="28"/>
          <w:szCs w:val="28"/>
          <w:color w:val="1B4332"/>
        </w:rPr>
        <w:t xml:space="preserve">8. 시사점과 함의</w:t>
      </w:r>
    </w:p>
    <w:p>
      <w:pPr>
        <w:spacing w:before="0" w:after="130" w:line="288" w:lineRule="auto"/>
      </w:pPr>
      <w:r>
        <w:rPr>
          <w:sz w:val="21"/>
          <w:szCs w:val="21"/>
          <w:color w:val="1F2937"/>
        </w:rPr>
        <w:t xml:space="preserve">해외 사례가 보여주는 공동체경제의 핵심 교훈은 지역의 자산화가 단순한 경제적 수익 창출을 넘어, 주민들이 스스로 생산·관리·소유하는 구조적 자립에 있다는 점이다. 프랑스의 농기계 이용 협동조합(CUMA) 사례는 개별 농가가 감당하기 어려운 고가의 장비를 공동으로 소유하고 운영함으로써 규모의 경제를 실현하고, 기술과 노동력을 공유하여 고령화와 일손 부족이라는 구조적 위기를 극복하는 모델을 제시한다. 이러한 방식은 단순히 효율성을 높이는 데 그치지 않고, 농업 생산의 전 과정을 주민 공동체가 주도하게 함으로써 외부 자본에 대한 의존도를 낮추고 지역 내 부의 선순환을 창출하는 메커니즘으로 작동한다.</w:t>
      </w:r>
    </w:p>
    <w:p>
      <w:pPr>
        <w:spacing w:before="200" w:after="90"/>
      </w:pPr>
      <w:r>
        <w:rPr>
          <w:b/>
          <w:sz w:val="23"/>
          <w:szCs w:val="23"/>
          <w:color w:val="2D6A4F"/>
        </w:rPr>
        <w:t xml:space="preserve">제도적 기반과 연대금융의 역할</w:t>
      </w:r>
    </w:p>
    <w:p>
      <w:pPr>
        <w:spacing w:before="0" w:after="130" w:line="288" w:lineRule="auto"/>
      </w:pPr>
      <w:r>
        <w:rPr>
          <w:sz w:val="21"/>
          <w:szCs w:val="21"/>
          <w:color w:val="1F2937"/>
        </w:rPr>
        <w:t xml:space="preserve">공동체경제의 지속가능성은 개별 조직의 노력을 넘어 이를 뒷받침하는 제도적 환경과 금융 지원 체계에 의해 결정된다. 미국에서는 웰스 파고(Wells Fargo)와 같은 금융기관이 USI와 협력하여 지역 사회의 경제적 이동성과 기업가 정신을 촉진하는 자산화 전략을 지원하고 있다. 이는 금융 접근성이 낮은 소외 계층에게 실질적인 자본을 제공하여 구조적 장벽을 해소하려는 시도이다. 또한, 멜라닌 머니(Melanin Money)와 같이 10억 달러 이상의 공동체 부를 창출한 플랫폼은 단순한 금융 교육을 넘어 체계적인 자산 형성 기회를 제공하며 인종 간 부의 격차를 실질적으로 줄이는 성과를 거두고 있다. 이는 금융 이해력 교육만으로는 충분하지 않으며, 실질적인 자본 접근권과 포괄적인 정책 지원이 병행되어야 함을 보여준다.</w:t>
      </w:r>
    </w:p>
    <w:p>
      <w:pPr>
        <w:spacing w:before="0" w:after="90" w:line="282" w:lineRule="auto"/>
        <w:ind w:left="260"/>
      </w:pPr>
      <w:r>
        <w:rPr>
          <w:b/>
          <w:sz w:val="21"/>
          <w:szCs w:val="21"/>
          <w:color w:val="9A7B29"/>
        </w:rPr>
        <w:t xml:space="preserve">•  </w:t>
      </w:r>
      <w:r>
        <w:rPr>
          <w:sz w:val="21"/>
          <w:szCs w:val="21"/>
          <w:color w:val="1F2937"/>
        </w:rPr>
        <w:t xml:space="preserve">중간지원조직은 다양한 주체 간의 경계를 넘는 협력을 설계하고, 지역 의제를 발굴하여 이를 구체적인 사업 모델로 전환하는 촉매제 역할을 수행한다.</w:t>
      </w:r>
    </w:p>
    <w:p>
      <w:pPr>
        <w:spacing w:before="0" w:after="90" w:line="282" w:lineRule="auto"/>
        <w:ind w:left="260"/>
      </w:pPr>
      <w:r>
        <w:rPr>
          <w:b/>
          <w:sz w:val="21"/>
          <w:szCs w:val="21"/>
          <w:color w:val="9A7B29"/>
        </w:rPr>
        <w:t xml:space="preserve">•  </w:t>
      </w:r>
      <w:r>
        <w:rPr>
          <w:sz w:val="21"/>
          <w:szCs w:val="21"/>
          <w:color w:val="1F2937"/>
        </w:rPr>
        <w:t xml:space="preserve">인력 양성 측면에서는 청년 농업인이나 이주 배경 인재들이 지역 사회의 일원으로 안정적으로 정착할 수 있도록 기술 전수와 생활 서비스를 통합적으로 지원하는 체계가 필수적이다.</w:t>
      </w:r>
    </w:p>
    <w:p>
      <w:pPr>
        <w:spacing w:before="0" w:after="110" w:line="282" w:lineRule="auto"/>
      </w:pPr>
      <w:r>
        <w:rPr>
          <w:b/>
          <w:sz w:val="21"/>
          <w:szCs w:val="21"/>
          <w:color w:val="2D6A4F"/>
        </w:rPr>
        <w:t xml:space="preserve">핵심  </w:t>
      </w:r>
      <w:r>
        <w:rPr>
          <w:sz w:val="21"/>
          <w:szCs w:val="21"/>
          <w:color w:val="1F2937"/>
        </w:rPr>
        <w:t xml:space="preserve">해외 사례는 공동체경제가 단순한 구호에 머물지 않으려면 주민 조직을 정책의 핵심 파트너로 인정하고, 금융·기술·교육을 통합적으로 지원하는 생태계 조성이 선행되어야 함을 시사한다. 한국의 경우, 이러한 해외의 협업적 농업 모델이나 다자간 협력 기반의 지역문제 해결 프로젝트 사례들을 참조하여, 지역 특성에 맞는 자산화 전략과 이를 뒷받침할 제도적·금융적 지원 체계를 정교화하는 과제를 안고 있다.</w:t>
      </w:r>
    </w:p>
    <w:p>
      <w:pPr>
        <w:spacing w:before="260" w:after="110"/>
        <w:pBdr>
          <w:top w:val="single" w:sz="6" w:space="6" w:color="E5E7EB"/>
        </w:pBdr>
      </w:pPr>
      <w:r>
        <w:rPr>
          <w:b/>
          <w:sz w:val="28"/>
          <w:szCs w:val="28"/>
          <w:color w:val="1B4332"/>
        </w:rPr>
        <w:t xml:space="preserve">9. 결론과 향후 관전점</w:t>
      </w:r>
    </w:p>
    <w:p>
      <w:pPr>
        <w:spacing w:before="0" w:after="130" w:line="288" w:lineRule="auto"/>
      </w:pPr>
      <w:r>
        <w:rPr>
          <w:sz w:val="21"/>
          <w:szCs w:val="21"/>
          <w:color w:val="1F2937"/>
        </w:rPr>
        <w:t xml:space="preserve">주민이 소유하는 공동체경제 모델은 단순한 경제적 수익 창출을 넘어, 지역 내 자산의 내재화와 부의 선순환을 통해 외부 의존도를 낮추는 강력한 대안으로 자리매김하고 있다. 해외 사례를 종합해 볼 때, 공동체경제의 핵심 메커니즘은 자본의 접근성을 개선하고, 개별 주체들이 겪는 구조적 장벽을 공동의 네트워크로 돌파하는 데 있다. 미국(USA)의 사례에서 확인되듯, 멜라닌 머니(Melanin Money)와 같은 플랫폼은 체계적인 금융 교육과 자산 형성 기회를 결합하여 소외 계층의 경제적 자립을 지원하며 10억 달러 이상의 부를 창출하는 성과를 거두었다. 이는 경제적 이동성이 단순히 개인의 금융 이해력만으로 해결되는 것이 아니라, 공동체 중심의 네트워크와 실질적인 자본 접근성이 뒷받침될 때 비로소 구조적 불평등을 해소할 수 있음을 시사한다.</w:t>
      </w:r>
    </w:p>
    <w:p>
      <w:pPr>
        <w:spacing w:before="200" w:after="90"/>
      </w:pPr>
      <w:r>
        <w:rPr>
          <w:b/>
          <w:sz w:val="23"/>
          <w:szCs w:val="23"/>
          <w:color w:val="2D6A4F"/>
        </w:rPr>
        <w:t xml:space="preserve">공동체경제의 확산과 구조적 협력 모델의 중요성</w:t>
      </w:r>
    </w:p>
    <w:p>
      <w:pPr>
        <w:spacing w:before="0" w:after="130" w:line="288" w:lineRule="auto"/>
      </w:pPr>
      <w:r>
        <w:rPr>
          <w:sz w:val="21"/>
          <w:szCs w:val="21"/>
          <w:color w:val="1F2937"/>
        </w:rPr>
        <w:t xml:space="preserve">해외에서 공동체경제는 정부의 정책적 변화나 행정적 불확실성 속에서도 지속 가능한 모델로 입증되고 있다. 넥스트 시티(Next City)의 보도에 따르면, 아이오와 시티(Iowa City)와 같은 지역에서는 중앙 정부의 예산 삭감이나 정책적 변동에도 불구하고 지역 사회 중심의 경제 모델을 통해 자립 기반을 강화하고 있다. 이러한 모델이 작동하는 방식은 크게 세 가지로 요약된다. 첫째, 금융 기관과 시민사회, 지역 공동체가 결합한 다자간 협력 체계 구축이다. 예를 들어, USI(USI)가 웰스 파고(Wells Fargo)와 협력하여 경제적 이동성과 기업가 정신을 촉진하는 사례는 기업의 사회적 책임이 지역 경제 활성화의 핵심 동력으로 어떻게 작동하는지를 보여준다. 둘째, 생산과 자원 공유의 표준화이다. 프랑스의 농기계 이용 협동조합 CUMA는 전국적으로 1만 1,500개 이상의 조직이 운영되며, 농업인의 약 40%가 가입하여 기계를 공동 소유하고 운영함으로써 개별 농가의 경영 안정성을 높이고 있다. 셋째, 청년층의 유입과 세대 간 지식 전수이다. 공동체 내에서 기술을 배우고 자산을 공유하는 경험은 귀농이나 창업을 희망하는 청년들에게 안정적인 정착의 발판이 된다.</w:t>
      </w:r>
    </w:p>
    <w:p>
      <w:pPr>
        <w:spacing w:before="0" w:after="90" w:line="282" w:lineRule="auto"/>
        <w:ind w:left="260"/>
      </w:pPr>
      <w:r>
        <w:rPr>
          <w:b/>
          <w:sz w:val="21"/>
          <w:szCs w:val="21"/>
          <w:color w:val="9A7B29"/>
        </w:rPr>
        <w:t xml:space="preserve">•  </w:t>
      </w:r>
      <w:r>
        <w:rPr>
          <w:sz w:val="21"/>
          <w:szCs w:val="21"/>
          <w:color w:val="1F2937"/>
        </w:rPr>
        <w:t xml:space="preserve">운영 효율화: 농기계 공유, 공동 생산 및 가공 등 자원 공유를 통한 개별 경영의 한계 극복</w:t>
      </w:r>
    </w:p>
    <w:p>
      <w:pPr>
        <w:spacing w:before="200" w:after="90"/>
      </w:pPr>
      <w:r>
        <w:rPr>
          <w:b/>
          <w:sz w:val="23"/>
          <w:szCs w:val="23"/>
          <w:color w:val="2D6A4F"/>
        </w:rPr>
        <w:t xml:space="preserve">향후 관전점과 지속 가능한 발전을 위한 과제</w:t>
      </w:r>
    </w:p>
    <w:p>
      <w:pPr>
        <w:spacing w:before="0" w:after="130" w:line="288" w:lineRule="auto"/>
      </w:pPr>
      <w:r>
        <w:rPr>
          <w:sz w:val="21"/>
          <w:szCs w:val="21"/>
          <w:color w:val="1F2937"/>
        </w:rPr>
        <w:t xml:space="preserve">향후 공동체경제의 성패를 가늠할 관전점은 '제도적 인정'과 '임팩트 측정의 고도화'에 있다. 많은 해외 사례에서 공동체 차원의 협업이 실험적으로 진행되고 있으나, 이를 정책적으로 인정하고 지속해서 지원하는 체계는 여전히 과제로 남아 있다. 단순히 인구 유입이나 단기적 경제 지표에 매몰되기보다, 주민들이 필요한 돌봄과 생활 서비스를 누리고 지역사회가 지속 가능하도록 하는 '현장 중심의 정책 전환'이 필수적이다. 특히 공동체경제 모델이 외부의 원조에 의존하지 않고 자생력을 갖추기 위해서는 임팩트 측정 결과를 바탕으로 한 사업의 고도화가 요구된다. 이는 단순히 수익을 내는 것을 넘어, 지역 내 소외 계층을 어떻게 포용하고, 세대 간 자산 이전을 어떻게 원활하게 할 것인가에 대한 정교한 설계가 필요함을 의미한다. 한국의 경우에도 이러한 해외의 다자간 협력 모델과 자원 공유 체계를 참조하여, 지역의 자산이 외부로 유출되지 않고 주민의 삶을 개선하는 데 재투자되는 선순환 구조를 설계하는 것이 향후 정책의 핵심 과제가 될 것이다.</w:t>
      </w:r>
    </w:p>
    <w:p>
      <w:pPr>
        <w:spacing w:before="0" w:after="110" w:line="282" w:lineRule="auto"/>
      </w:pPr>
      <w:r>
        <w:rPr>
          <w:b/>
          <w:sz w:val="21"/>
          <w:szCs w:val="21"/>
          <w:color w:val="2D6A4F"/>
        </w:rPr>
        <w:t xml:space="preserve">핵심  </w:t>
      </w:r>
      <w:r>
        <w:rPr>
          <w:sz w:val="21"/>
          <w:szCs w:val="21"/>
          <w:color w:val="1F2937"/>
        </w:rPr>
        <w:t xml:space="preserve">공동체경제는 단순한 경제적 이익을 넘어, 자원과 돌봄의 자산화를 통해 지역의 운명을 바꾸는 핵심 자산이다. 해외 사례는 금융 접근성 개선, 다자간 협력 모델, 그리고 공유 경제의 제도화가 결합할 때 비로소 구조적 변화가 가능함을 증명하고 있다.</w:t>
      </w:r>
    </w:p>
    <w:p>
      <w:pPr>
        <w:spacing w:before="260" w:after="110"/>
        <w:pBdr>
          <w:top w:val="single" w:sz="6" w:space="6" w:color="E5E7EB"/>
        </w:pBdr>
      </w:pPr>
      <w:r>
        <w:rPr>
          <w:b/>
          <w:sz w:val="28"/>
          <w:szCs w:val="28"/>
          <w:color w:val="1B4332"/>
        </w:rPr>
        <w:t xml:space="preserve">참고자료</w:t>
      </w:r>
    </w:p>
    <w:p>
      <w:pPr>
        <w:spacing w:before="0" w:after="110" w:line="282" w:lineRule="auto"/>
      </w:pPr>
      <w:r>
        <w:rPr>
          <w:b/>
          <w:sz w:val="21"/>
          <w:szCs w:val="21"/>
          <w:color w:val="2D6A4F"/>
        </w:rPr>
        <w:t xml:space="preserve">1.  </w:t>
      </w:r>
      <w:r>
        <w:rPr>
          <w:sz w:val="21"/>
          <w:szCs w:val="21"/>
          <w:color w:val="1F2937"/>
        </w:rPr>
        <w:t xml:space="preserve">[나눔 트렌드] 아름다운재단, ‘뷰티풀 커넥트’ 협력 경험 공개…‘대한민국 사회적가치 페스타’ 참가 外 (베이비뉴스, 2026. 09. 18.)</w:t>
      </w:r>
    </w:p>
    <w:p>
      <w:pPr>
        <w:spacing w:before="0" w:after="90" w:line="270" w:lineRule="auto"/>
      </w:pPr>
      <w:r>
        <w:rPr>
          <w:sz w:val="17"/>
          <w:szCs w:val="17"/>
          <w:color w:val="6B7280"/>
        </w:rPr>
        <w:t xml:space="preserve">http://v.daum.net/v/20260916134120796</w:t>
      </w:r>
    </w:p>
    <w:p>
      <w:pPr>
        <w:spacing w:before="0" w:after="110" w:line="282" w:lineRule="auto"/>
      </w:pPr>
      <w:r>
        <w:rPr>
          <w:b/>
          <w:sz w:val="21"/>
          <w:szCs w:val="21"/>
          <w:color w:val="2D6A4F"/>
        </w:rPr>
        <w:t xml:space="preserve">2.  </w:t>
      </w:r>
      <w:r>
        <w:rPr>
          <w:sz w:val="21"/>
          <w:szCs w:val="21"/>
          <w:color w:val="1F2937"/>
        </w:rPr>
        <w:t xml:space="preserve">“한일 이동장벽 낮춰, 경제공동체 구축을” [2026 미래경제포럼:경제동맹, 새로운 길 열다] (msn.com, 2026. 09. 09.)</w:t>
      </w:r>
    </w:p>
    <w:p>
      <w:pPr>
        <w:spacing w:before="0" w:after="90" w:line="270" w:lineRule="auto"/>
      </w:pPr>
      <w:r>
        <w:rPr>
          <w:sz w:val="17"/>
          <w:szCs w:val="17"/>
          <w:color w:val="6B7280"/>
        </w:rPr>
        <w:t xml:space="preserve">https://www.msn.com/ko-kr/money/topstories/%ED%95%9C%EC%9D%BC-%EC%9D%B4%EB%8F%99%EC%9E%A5%EB%B2%BD-%EB%82%AE%EC%B6%B0-%EA%B2%BD%EC%A0%9C%EA%B3%B5%EB%8F%99%EC%B2%B4-%EA%B5%AC%EC%B6%95%EC%9D%84-2026-%EB%AF%B8%EB%9E%98%EA%B2%BD%EC%A0%9C%ED%8F%AC%EB%9F%BC-%EA%B2%BD%EC%A0%9C%EB%8F%99%EB%A7%B9-%EC%83%88%EB%A1%9C%EC%9A%B4-%EA%B8%B8-%EC%97%B4%EB%8B%A4/ar-AA2bMObr</w:t>
      </w:r>
    </w:p>
    <w:p>
      <w:pPr>
        <w:spacing w:before="0" w:after="110" w:line="282" w:lineRule="auto"/>
      </w:pPr>
      <w:r>
        <w:rPr>
          <w:b/>
          <w:sz w:val="21"/>
          <w:szCs w:val="21"/>
          <w:color w:val="2D6A4F"/>
        </w:rPr>
        <w:t xml:space="preserve">3.  </w:t>
      </w:r>
      <w:r>
        <w:rPr>
          <w:sz w:val="21"/>
          <w:szCs w:val="21"/>
          <w:color w:val="1F2937"/>
        </w:rPr>
        <w:t xml:space="preserve">고령화·일손 부족에 ‘같이 농사’ 부상...기계·기술 나누고 수확·판매까지 (헤럴드경제, 2026. 09. 18.)</w:t>
      </w:r>
    </w:p>
    <w:p>
      <w:pPr>
        <w:spacing w:before="0" w:after="90" w:line="270" w:lineRule="auto"/>
      </w:pPr>
      <w:r>
        <w:rPr>
          <w:sz w:val="17"/>
          <w:szCs w:val="17"/>
          <w:color w:val="6B7280"/>
        </w:rPr>
        <w:t xml:space="preserve">http://v.daum.net/v/20260917092439380</w:t>
      </w:r>
    </w:p>
    <w:p>
      <w:pPr>
        <w:spacing w:before="0" w:after="110" w:line="282" w:lineRule="auto"/>
      </w:pPr>
      <w:r>
        <w:rPr>
          <w:b/>
          <w:sz w:val="21"/>
          <w:szCs w:val="21"/>
          <w:color w:val="2D6A4F"/>
        </w:rPr>
        <w:t xml:space="preserve">4.  </w:t>
      </w:r>
      <w:r>
        <w:rPr>
          <w:sz w:val="21"/>
          <w:szCs w:val="21"/>
          <w:color w:val="1F2937"/>
        </w:rPr>
        <w:t xml:space="preserve">[썰물밀물] 마계를 넘어 글로벌 거점으로 인천의 새로운 브랜드 만들기 (인천일보, 2026. 09. 18.)</w:t>
      </w:r>
    </w:p>
    <w:p>
      <w:pPr>
        <w:spacing w:before="0" w:after="90" w:line="270" w:lineRule="auto"/>
      </w:pPr>
      <w:r>
        <w:rPr>
          <w:sz w:val="17"/>
          <w:szCs w:val="17"/>
          <w:color w:val="6B7280"/>
        </w:rPr>
        <w:t xml:space="preserve">http://v.daum.net/v/20260917161504905</w:t>
      </w:r>
    </w:p>
    <w:p>
      <w:pPr>
        <w:spacing w:before="0" w:after="110" w:line="282" w:lineRule="auto"/>
      </w:pPr>
      <w:r>
        <w:rPr>
          <w:b/>
          <w:sz w:val="21"/>
          <w:szCs w:val="21"/>
          <w:color w:val="2D6A4F"/>
        </w:rPr>
        <w:t xml:space="preserve">5.  </w:t>
      </w:r>
      <w:r>
        <w:rPr>
          <w:sz w:val="21"/>
          <w:szCs w:val="21"/>
          <w:color w:val="1F2937"/>
        </w:rPr>
        <w:t xml:space="preserve">경남도, 기후대응형 해양수산 3대 발전 전략 추진 (뉴시스, 2026. 09. 18.)</w:t>
      </w:r>
    </w:p>
    <w:p>
      <w:pPr>
        <w:spacing w:before="0" w:after="90" w:line="270" w:lineRule="auto"/>
      </w:pPr>
      <w:r>
        <w:rPr>
          <w:sz w:val="17"/>
          <w:szCs w:val="17"/>
          <w:color w:val="6B7280"/>
        </w:rPr>
        <w:t xml:space="preserve">http://v.daum.net/v/20260917112601007</w:t>
      </w:r>
    </w:p>
    <w:p>
      <w:pPr>
        <w:spacing w:before="0" w:after="110" w:line="282" w:lineRule="auto"/>
      </w:pPr>
      <w:r>
        <w:rPr>
          <w:b/>
          <w:sz w:val="21"/>
          <w:szCs w:val="21"/>
          <w:color w:val="2D6A4F"/>
        </w:rPr>
        <w:t xml:space="preserve">6.  </w:t>
      </w:r>
      <w:r>
        <w:rPr>
          <w:sz w:val="21"/>
          <w:szCs w:val="21"/>
          <w:color w:val="1F2937"/>
        </w:rPr>
        <w:t xml:space="preserve">‘2026 안동국제탈춤페스티벌’ 오는 24일 개막 (헤럴드경제, 2026. 09. 18.)</w:t>
      </w:r>
    </w:p>
    <w:p>
      <w:pPr>
        <w:spacing w:before="0" w:after="90" w:line="270" w:lineRule="auto"/>
      </w:pPr>
      <w:r>
        <w:rPr>
          <w:sz w:val="17"/>
          <w:szCs w:val="17"/>
          <w:color w:val="6B7280"/>
        </w:rPr>
        <w:t xml:space="preserve">http://v.daum.net/v/20260917082115792</w:t>
      </w:r>
    </w:p>
    <w:p>
      <w:pPr>
        <w:spacing w:before="0" w:after="110" w:line="282" w:lineRule="auto"/>
      </w:pPr>
      <w:r>
        <w:rPr>
          <w:b/>
          <w:sz w:val="21"/>
          <w:szCs w:val="21"/>
          <w:color w:val="2D6A4F"/>
        </w:rPr>
        <w:t xml:space="preserve">7.  </w:t>
      </w:r>
      <w:r>
        <w:rPr>
          <w:sz w:val="21"/>
          <w:szCs w:val="21"/>
          <w:color w:val="1F2937"/>
        </w:rPr>
        <w:t xml:space="preserve">[김도연 칼럼]학령인구 감소 시대, 대한민국의 미래 인재들 (동아일보, 2026. 09. 18.)</w:t>
      </w:r>
    </w:p>
    <w:p>
      <w:pPr>
        <w:spacing w:before="0" w:after="90" w:line="270" w:lineRule="auto"/>
      </w:pPr>
      <w:r>
        <w:rPr>
          <w:sz w:val="17"/>
          <w:szCs w:val="17"/>
          <w:color w:val="6B7280"/>
        </w:rPr>
        <w:t xml:space="preserve">http://v.daum.net/v/20260916231349242</w:t>
      </w:r>
    </w:p>
    <w:p>
      <w:pPr>
        <w:spacing w:before="0" w:after="110" w:line="282" w:lineRule="auto"/>
      </w:pPr>
      <w:r>
        <w:rPr>
          <w:b/>
          <w:sz w:val="21"/>
          <w:szCs w:val="21"/>
          <w:color w:val="2D6A4F"/>
        </w:rPr>
        <w:t xml:space="preserve">8.  </w:t>
      </w:r>
      <w:r>
        <w:rPr>
          <w:sz w:val="21"/>
          <w:szCs w:val="21"/>
          <w:color w:val="1F2937"/>
        </w:rPr>
        <w:t xml:space="preserve">How Community Is Helping First-Time Investors Build Wealth (forbes.com, 2025. 07. 14.)</w:t>
      </w:r>
    </w:p>
    <w:p>
      <w:pPr>
        <w:spacing w:before="0" w:after="90" w:line="270" w:lineRule="auto"/>
      </w:pPr>
      <w:r>
        <w:rPr>
          <w:sz w:val="17"/>
          <w:szCs w:val="17"/>
          <w:color w:val="6B7280"/>
        </w:rPr>
        <w:t xml:space="preserve">https://www.forbes.com/sites/alejandrarojas/2025/07/14/how-community-is-helping-first-time-investors-build-wealth/</w:t>
      </w:r>
    </w:p>
    <w:p>
      <w:pPr>
        <w:spacing w:before="0" w:after="110" w:line="282" w:lineRule="auto"/>
      </w:pPr>
      <w:r>
        <w:rPr>
          <w:b/>
          <w:sz w:val="21"/>
          <w:szCs w:val="21"/>
          <w:color w:val="2D6A4F"/>
        </w:rPr>
        <w:t xml:space="preserve">9.  </w:t>
      </w:r>
      <w:r>
        <w:rPr>
          <w:sz w:val="21"/>
          <w:szCs w:val="21"/>
          <w:color w:val="1F2937"/>
        </w:rPr>
        <w:t xml:space="preserve">It’s Still Possible To Build Community Wealth in an Era of Executive (Dis)Order (nextcity.org, 2025. 05. 29.)</w:t>
      </w:r>
    </w:p>
    <w:p>
      <w:pPr>
        <w:spacing w:before="0" w:after="90" w:line="270" w:lineRule="auto"/>
      </w:pPr>
      <w:r>
        <w:rPr>
          <w:sz w:val="17"/>
          <w:szCs w:val="17"/>
          <w:color w:val="6B7280"/>
        </w:rPr>
        <w:t xml:space="preserve">https://nextcity.org/urbanist-news/community-wealth-building-possible-federal-cuts</w:t>
      </w:r>
    </w:p>
    <w:p>
      <w:pPr>
        <w:spacing w:before="0" w:after="110" w:line="282" w:lineRule="auto"/>
      </w:pPr>
      <w:r>
        <w:rPr>
          <w:b/>
          <w:sz w:val="21"/>
          <w:szCs w:val="21"/>
          <w:color w:val="2D6A4F"/>
        </w:rPr>
        <w:t xml:space="preserve">10.  </w:t>
      </w:r>
      <w:r>
        <w:rPr>
          <w:sz w:val="21"/>
          <w:szCs w:val="21"/>
          <w:color w:val="1F2937"/>
        </w:rPr>
        <w:t xml:space="preserve">USI, with Support from Wells Fargo, Advances Economic Mobility, Entrepreneurship, and Community Wealth Building (finance.yahoo.com, 2026. 06. 10.)</w:t>
      </w:r>
    </w:p>
    <w:p>
      <w:pPr>
        <w:spacing w:before="0" w:after="90" w:line="270" w:lineRule="auto"/>
      </w:pPr>
      <w:r>
        <w:rPr>
          <w:sz w:val="17"/>
          <w:szCs w:val="17"/>
          <w:color w:val="6B7280"/>
        </w:rPr>
        <w:t xml:space="preserve">https://finance.yahoo.com/economy/policy/articles/usi-support-wells-fargo-advances-220300178.html</w:t>
      </w:r>
    </w:p>
    <w:p>
      <w:pPr>
        <w:spacing w:before="0" w:after="90" w:line="270" w:lineRule="auto"/>
      </w:pPr>
      <w:r>
        <w:rPr>
          <w:sz w:val="17"/>
          <w:szCs w:val="17"/>
          <w:color w:val="6B7280"/>
        </w:rPr>
        <w:t xml:space="preserve">※ 인용 원문의 저작권은 각 매체에 있으며, 전체 내용은 위 링크에서 확인할 수 있습니다.</w:t>
      </w:r>
    </w:p>
    <w:p>
      <w:pPr>
        <w:spacing w:before="240" w:after="60"/>
        <w:pBdr>
          <w:top w:val="single" w:sz="6" w:space="6" w:color="9A7B29"/>
        </w:pBdr>
      </w:pPr>
    </w:p>
    <w:p>
      <w:pPr>
        <w:spacing w:before="0" w:after="40"/>
      </w:pPr>
      <w:r>
        <w:rPr>
          <w:b/>
          <w:sz w:val="19"/>
          <w:szCs w:val="19"/>
          <w:color w:val="1B4332"/>
        </w:rPr>
        <w:t xml:space="preserve">사단법인 도시공동체본부  ·  행정안전부 소관 비영리법인</w:t>
      </w:r>
    </w:p>
    <w:p>
      <w:pPr>
        <w:spacing w:before="0" w:after="40"/>
      </w:pPr>
      <w:r>
        <w:rPr>
          <w:sz w:val="17"/>
          <w:szCs w:val="17"/>
          <w:color w:val="6B7280"/>
        </w:rPr>
        <w:t xml:space="preserve">대전광역시 서구 대덕대로242번길 15, 501호-G19</w:t>
      </w:r>
    </w:p>
    <w:p>
      <w:pPr>
        <w:spacing w:before="0" w:after="40"/>
      </w:pPr>
      <w:r>
        <w:rPr>
          <w:sz w:val="17"/>
          <w:szCs w:val="17"/>
          <w:color w:val="6B7280"/>
        </w:rPr>
        <w:t xml:space="preserve">Tel. 1670-9678   ·   E-mail. contact@ucc.or.kr</w:t>
      </w:r>
    </w:p>
    <w:p>
      <w:pPr>
        <w:spacing w:before="0" w:after="40"/>
      </w:pPr>
      <w:r>
        <w:rPr>
          <w:sz w:val="17"/>
          <w:szCs w:val="17"/>
          <w:color w:val="6B7280"/>
        </w:rPr>
        <w:t xml:space="preserve">본 자료는 도시공동체본부가 공개자료를 바탕으로 매일 정리한 '지구촌소식브리프'이며, 인용 원문의 저작권은 각 매체에 있습니다.</w:t>
      </w:r>
    </w:p>
    <w:sectPr>
      <w:pgSz w:w="11906" w:h="16838"/>
      <w:pgMar w:top="1440" w:right="1440" w:bottom="1440" w:left="1440" w:header="720" w:footer="720" w:gutter="0"/>
    </w:sectPr>
  </w:body>
</w:document>
</file>